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5934" w14:textId="133230D1" w:rsidR="00A85DF6" w:rsidRDefault="00A85DF6">
      <w:pPr>
        <w:spacing w:after="0" w:line="259" w:lineRule="auto"/>
        <w:ind w:left="0" w:firstLine="0"/>
        <w:rPr>
          <w:b/>
          <w:shd w:val="clear" w:color="auto" w:fill="FFFF00"/>
          <w:lang w:val="pt-BR"/>
        </w:rPr>
      </w:pPr>
      <w:r>
        <w:rPr>
          <w:noProof/>
        </w:rPr>
        <w:drawing>
          <wp:inline distT="0" distB="0" distL="0" distR="0" wp14:anchorId="2659CCFF" wp14:editId="07E910B2">
            <wp:extent cx="2405380" cy="715645"/>
            <wp:effectExtent l="0" t="0" r="0" b="8255"/>
            <wp:docPr id="49083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5380" cy="715645"/>
                    </a:xfrm>
                    <a:prstGeom prst="rect">
                      <a:avLst/>
                    </a:prstGeom>
                    <a:noFill/>
                    <a:ln>
                      <a:noFill/>
                    </a:ln>
                  </pic:spPr>
                </pic:pic>
              </a:graphicData>
            </a:graphic>
          </wp:inline>
        </w:drawing>
      </w:r>
    </w:p>
    <w:p w14:paraId="62C24B97" w14:textId="07878597" w:rsidR="008E0C00" w:rsidRPr="00C239D2" w:rsidRDefault="008E0C00">
      <w:pPr>
        <w:spacing w:after="0" w:line="259" w:lineRule="auto"/>
        <w:ind w:left="0" w:firstLine="0"/>
        <w:rPr>
          <w:lang w:val="pt-BR"/>
        </w:rPr>
      </w:pPr>
    </w:p>
    <w:p w14:paraId="52DAC8AE" w14:textId="77777777" w:rsidR="008E0C00" w:rsidRPr="00C239D2" w:rsidRDefault="00166AD2">
      <w:pPr>
        <w:ind w:left="-5"/>
        <w:rPr>
          <w:lang w:val="pt-BR"/>
        </w:rPr>
      </w:pPr>
      <w:r w:rsidRPr="00C239D2">
        <w:rPr>
          <w:b/>
          <w:lang w:val="pt-BR"/>
        </w:rPr>
        <w:t xml:space="preserve">Assistência financeira: </w:t>
      </w:r>
      <w:r w:rsidRPr="00C239D2">
        <w:rPr>
          <w:lang w:val="pt-BR"/>
        </w:rPr>
        <w:t xml:space="preserve">A Trinity Health tem o compromisso de fornecer atendimento, tratamento e serviços a todos que nos procuram com necessidade clínica. </w:t>
      </w:r>
    </w:p>
    <w:tbl>
      <w:tblPr>
        <w:tblStyle w:val="TableGrid"/>
        <w:tblpPr w:vertAnchor="text" w:tblpX="7596" w:tblpY="4"/>
        <w:tblOverlap w:val="never"/>
        <w:tblW w:w="2262" w:type="dxa"/>
        <w:tblInd w:w="0" w:type="dxa"/>
        <w:tblCellMar>
          <w:top w:w="86" w:type="dxa"/>
          <w:left w:w="115" w:type="dxa"/>
          <w:right w:w="115" w:type="dxa"/>
        </w:tblCellMar>
        <w:tblLook w:val="04A0" w:firstRow="1" w:lastRow="0" w:firstColumn="1" w:lastColumn="0" w:noHBand="0" w:noVBand="1"/>
      </w:tblPr>
      <w:tblGrid>
        <w:gridCol w:w="3112"/>
      </w:tblGrid>
      <w:tr w:rsidR="008E0C00" w14:paraId="73BFE984" w14:textId="77777777">
        <w:trPr>
          <w:trHeight w:val="3000"/>
        </w:trPr>
        <w:tc>
          <w:tcPr>
            <w:tcW w:w="2262" w:type="dxa"/>
            <w:tcBorders>
              <w:top w:val="single" w:sz="4" w:space="0" w:color="7F7F7F"/>
              <w:left w:val="single" w:sz="4" w:space="0" w:color="7F7F7F"/>
              <w:bottom w:val="single" w:sz="4" w:space="0" w:color="7F7F7F"/>
              <w:right w:val="single" w:sz="4" w:space="0" w:color="7F7F7F"/>
            </w:tcBorders>
          </w:tcPr>
          <w:p w14:paraId="2E519979" w14:textId="77777777" w:rsidR="008E0C00" w:rsidRPr="00C239D2" w:rsidRDefault="00166AD2">
            <w:pPr>
              <w:spacing w:after="7" w:line="259" w:lineRule="auto"/>
              <w:ind w:left="7" w:firstLine="0"/>
              <w:jc w:val="center"/>
              <w:rPr>
                <w:lang w:val="pt-BR"/>
              </w:rPr>
            </w:pPr>
            <w:r w:rsidRPr="00C239D2">
              <w:rPr>
                <w:i/>
                <w:lang w:val="pt-BR"/>
              </w:rPr>
              <w:t xml:space="preserve">Consulte as </w:t>
            </w:r>
          </w:p>
          <w:p w14:paraId="0B797DC5" w14:textId="77777777" w:rsidR="008E0C00" w:rsidRPr="00C239D2" w:rsidRDefault="00166AD2">
            <w:pPr>
              <w:spacing w:after="0" w:line="270" w:lineRule="auto"/>
              <w:ind w:left="0" w:firstLine="0"/>
              <w:jc w:val="center"/>
              <w:rPr>
                <w:lang w:val="pt-BR"/>
              </w:rPr>
            </w:pPr>
            <w:r w:rsidRPr="00C239D2">
              <w:rPr>
                <w:i/>
                <w:lang w:val="pt-BR"/>
              </w:rPr>
              <w:t xml:space="preserve">Diretrizes Federais de Nível de </w:t>
            </w:r>
          </w:p>
          <w:p w14:paraId="4EDA94A1" w14:textId="77777777" w:rsidR="008E0C00" w:rsidRPr="00C239D2" w:rsidRDefault="00166AD2">
            <w:pPr>
              <w:spacing w:after="172" w:line="259" w:lineRule="auto"/>
              <w:ind w:left="11" w:firstLine="0"/>
              <w:jc w:val="center"/>
              <w:rPr>
                <w:lang w:val="pt-BR"/>
              </w:rPr>
            </w:pPr>
            <w:r w:rsidRPr="00C239D2">
              <w:rPr>
                <w:i/>
                <w:lang w:val="pt-BR"/>
              </w:rPr>
              <w:t xml:space="preserve">Pobreza aqui </w:t>
            </w:r>
          </w:p>
          <w:p w14:paraId="3284C8D2" w14:textId="25E98928" w:rsidR="008E0C00" w:rsidRPr="00C239D2" w:rsidRDefault="00000000">
            <w:pPr>
              <w:spacing w:after="0" w:line="267" w:lineRule="auto"/>
              <w:ind w:left="0" w:firstLine="0"/>
              <w:jc w:val="center"/>
              <w:rPr>
                <w:color w:val="0000FF"/>
                <w:lang w:val="pt-BR"/>
              </w:rPr>
            </w:pPr>
            <w:hyperlink r:id="rId6">
              <w:r w:rsidR="00166AD2" w:rsidRPr="00C239D2">
                <w:rPr>
                  <w:color w:val="0000FF"/>
                  <w:sz w:val="18"/>
                  <w:u w:val="single" w:color="0000FF"/>
                  <w:shd w:val="clear" w:color="auto" w:fill="FFFF00"/>
                  <w:lang w:val="pt-BR"/>
                </w:rPr>
                <w:t>https://aspe.hhs.gov/topi</w:t>
              </w:r>
            </w:hyperlink>
          </w:p>
          <w:p w14:paraId="2B18DC15" w14:textId="6BE756C3" w:rsidR="008E0C00" w:rsidRDefault="00000000">
            <w:pPr>
              <w:spacing w:after="0" w:line="259" w:lineRule="auto"/>
              <w:ind w:left="0" w:firstLine="0"/>
              <w:jc w:val="center"/>
            </w:pPr>
            <w:hyperlink r:id="rId7">
              <w:r w:rsidR="00166AD2" w:rsidRPr="00C239D2">
                <w:rPr>
                  <w:color w:val="0000FF"/>
                  <w:sz w:val="18"/>
                  <w:u w:val="single" w:color="0000FF"/>
                  <w:shd w:val="clear" w:color="auto" w:fill="FFFF00"/>
                </w:rPr>
                <w:t>cs/poverty</w:t>
              </w:r>
            </w:hyperlink>
            <w:hyperlink r:id="rId8">
              <w:r w:rsidR="00166AD2" w:rsidRPr="00C239D2">
                <w:rPr>
                  <w:color w:val="0000FF"/>
                  <w:sz w:val="18"/>
                  <w:u w:val="single" w:color="0000FF"/>
                  <w:shd w:val="clear" w:color="auto" w:fill="FFFF00"/>
                </w:rPr>
                <w:t>-</w:t>
              </w:r>
            </w:hyperlink>
            <w:hyperlink r:id="rId9">
              <w:r w:rsidR="00166AD2" w:rsidRPr="00C239D2">
                <w:rPr>
                  <w:color w:val="0000FF"/>
                  <w:sz w:val="18"/>
                  <w:u w:val="single" w:color="0000FF"/>
                  <w:shd w:val="clear" w:color="auto" w:fill="FFFF00"/>
                </w:rPr>
                <w:t>economic</w:t>
              </w:r>
            </w:hyperlink>
            <w:hyperlink r:id="rId10"/>
            <w:hyperlink r:id="rId11">
              <w:r w:rsidR="00166AD2" w:rsidRPr="00C239D2">
                <w:rPr>
                  <w:color w:val="0000FF"/>
                  <w:sz w:val="18"/>
                  <w:u w:val="single" w:color="0000FF"/>
                  <w:shd w:val="clear" w:color="auto" w:fill="FFFF00"/>
                </w:rPr>
                <w:t>mobility/poverty</w:t>
              </w:r>
            </w:hyperlink>
            <w:hyperlink r:id="rId12"/>
            <w:hyperlink r:id="rId13">
              <w:r w:rsidR="00166AD2" w:rsidRPr="00C239D2">
                <w:rPr>
                  <w:color w:val="0000FF"/>
                  <w:sz w:val="18"/>
                  <w:u w:val="single" w:color="0000FF"/>
                  <w:shd w:val="clear" w:color="auto" w:fill="FFFF00"/>
                </w:rPr>
                <w:t>guidelin</w:t>
              </w:r>
              <w:hyperlink r:id="rId14">
                <w:r w:rsidR="00C239D2" w:rsidRPr="00C239D2">
                  <w:rPr>
                    <w:color w:val="0000FF"/>
                    <w:sz w:val="18"/>
                    <w:shd w:val="clear" w:color="auto" w:fill="FFFF00"/>
                  </w:rPr>
                  <w:t>]</w:t>
                </w:r>
              </w:hyperlink>
              <w:r w:rsidR="00166AD2" w:rsidRPr="00C239D2">
                <w:rPr>
                  <w:color w:val="0000FF"/>
                  <w:sz w:val="18"/>
                  <w:u w:val="single" w:color="0000FF"/>
                  <w:shd w:val="clear" w:color="auto" w:fill="FFFF00"/>
                </w:rPr>
                <w:t>es</w:t>
              </w:r>
            </w:hyperlink>
            <w:r w:rsidR="00166AD2" w:rsidRPr="00C239D2">
              <w:rPr>
                <w:color w:val="0000FF"/>
                <w:sz w:val="18"/>
              </w:rPr>
              <w:t xml:space="preserve"> </w:t>
            </w:r>
          </w:p>
        </w:tc>
      </w:tr>
    </w:tbl>
    <w:p w14:paraId="246E6FA1" w14:textId="77777777" w:rsidR="008E0C00" w:rsidRDefault="00166AD2">
      <w:pPr>
        <w:spacing w:after="0" w:line="259" w:lineRule="auto"/>
        <w:ind w:left="0" w:firstLine="0"/>
      </w:pPr>
      <w:r>
        <w:t xml:space="preserve"> </w:t>
      </w:r>
    </w:p>
    <w:p w14:paraId="3BBD44F0" w14:textId="77777777" w:rsidR="008E0C00" w:rsidRDefault="00166AD2">
      <w:pPr>
        <w:spacing w:after="0" w:line="259" w:lineRule="auto"/>
        <w:ind w:left="0" w:firstLine="0"/>
      </w:pPr>
      <w:r>
        <w:rPr>
          <w:b/>
          <w:i/>
        </w:rPr>
        <w:t xml:space="preserve">Política de assistência financeira </w:t>
      </w:r>
    </w:p>
    <w:p w14:paraId="670A6FAB" w14:textId="77777777" w:rsidR="008E0C00" w:rsidRPr="00C239D2" w:rsidRDefault="00166AD2">
      <w:pPr>
        <w:numPr>
          <w:ilvl w:val="0"/>
          <w:numId w:val="1"/>
        </w:numPr>
        <w:ind w:hanging="361"/>
        <w:rPr>
          <w:lang w:val="pt-BR"/>
        </w:rPr>
      </w:pPr>
      <w:r w:rsidRPr="00C239D2">
        <w:rPr>
          <w:lang w:val="pt-BR"/>
        </w:rPr>
        <w:t xml:space="preserve">A ajuda financeira é fornecida com base em sua renda. Isso é definido pelas </w:t>
      </w:r>
      <w:hyperlink r:id="rId15">
        <w:r w:rsidRPr="00C239D2">
          <w:rPr>
            <w:color w:val="0000FF"/>
            <w:u w:val="single" w:color="0000FF"/>
            <w:lang w:val="pt-BR"/>
          </w:rPr>
          <w:t>Diretrizes Federais de Nível de Pobreza</w:t>
        </w:r>
      </w:hyperlink>
      <w:hyperlink r:id="rId16">
        <w:r w:rsidRPr="00C239D2">
          <w:rPr>
            <w:color w:val="595857"/>
            <w:lang w:val="pt-BR"/>
          </w:rPr>
          <w:t>.</w:t>
        </w:r>
      </w:hyperlink>
      <w:r w:rsidRPr="00C239D2">
        <w:rPr>
          <w:color w:val="595857"/>
          <w:lang w:val="pt-BR"/>
        </w:rPr>
        <w:t xml:space="preserve"> </w:t>
      </w:r>
    </w:p>
    <w:p w14:paraId="166AF413" w14:textId="77777777" w:rsidR="008E0C00" w:rsidRPr="00C239D2" w:rsidRDefault="00166AD2">
      <w:pPr>
        <w:numPr>
          <w:ilvl w:val="0"/>
          <w:numId w:val="1"/>
        </w:numPr>
        <w:ind w:hanging="361"/>
        <w:rPr>
          <w:lang w:val="pt-BR"/>
        </w:rPr>
      </w:pPr>
      <w:r w:rsidRPr="00C239D2">
        <w:rPr>
          <w:lang w:val="pt-BR"/>
        </w:rPr>
        <w:t xml:space="preserve">Se a sua renda for [200]% ou menos do valor estipulado nas Diretrizes Federais de Nível de Pobreza, você poderá obter um desconto integral. Aplica-se a serviços necessários do ponto de vista clínico. </w:t>
      </w:r>
    </w:p>
    <w:p w14:paraId="20224788" w14:textId="77777777" w:rsidR="008E0C00" w:rsidRPr="00C239D2" w:rsidRDefault="00166AD2">
      <w:pPr>
        <w:numPr>
          <w:ilvl w:val="0"/>
          <w:numId w:val="1"/>
        </w:numPr>
        <w:spacing w:after="25" w:line="233" w:lineRule="auto"/>
        <w:ind w:hanging="361"/>
        <w:rPr>
          <w:lang w:val="pt-BR"/>
        </w:rPr>
      </w:pPr>
      <w:r w:rsidRPr="00C239D2">
        <w:rPr>
          <w:lang w:val="pt-BR"/>
        </w:rPr>
        <w:t xml:space="preserve">Se a sua renda for de [201]% a [400]% do valor estipulado nas Diretrizes Federais de Nível de Pobreza, você poderá obter um desconto parcial. </w:t>
      </w:r>
    </w:p>
    <w:p w14:paraId="5E1F02F2" w14:textId="77777777" w:rsidR="008E0C00" w:rsidRPr="00C239D2" w:rsidRDefault="00166AD2">
      <w:pPr>
        <w:numPr>
          <w:ilvl w:val="0"/>
          <w:numId w:val="1"/>
        </w:numPr>
        <w:ind w:hanging="361"/>
        <w:rPr>
          <w:lang w:val="pt-BR"/>
        </w:rPr>
      </w:pPr>
      <w:r w:rsidRPr="00C239D2">
        <w:rPr>
          <w:lang w:val="pt-BR"/>
        </w:rPr>
        <w:t xml:space="preserve">A Trinity Health não cobrará dos pacientes qualificados mais do que a taxa de desconto do Medicare. </w:t>
      </w:r>
    </w:p>
    <w:p w14:paraId="66C0F63F" w14:textId="77777777" w:rsidR="008E0C00" w:rsidRPr="00C239D2" w:rsidRDefault="00166AD2">
      <w:pPr>
        <w:numPr>
          <w:ilvl w:val="0"/>
          <w:numId w:val="1"/>
        </w:numPr>
        <w:ind w:hanging="361"/>
        <w:rPr>
          <w:lang w:val="pt-BR"/>
        </w:rPr>
      </w:pPr>
      <w:r w:rsidRPr="00C239D2">
        <w:rPr>
          <w:lang w:val="pt-BR"/>
        </w:rPr>
        <w:t xml:space="preserve">Seus copagamentos, cosseguros e franquias podem receber descontos. Você pode se enquadrar para receber auxílio se a sua renda for menos de [400]% do Nível Federal de Pobreza. </w:t>
      </w:r>
    </w:p>
    <w:p w14:paraId="13B3C427" w14:textId="77777777" w:rsidR="008E0C00" w:rsidRPr="00C239D2" w:rsidRDefault="00166AD2">
      <w:pPr>
        <w:numPr>
          <w:ilvl w:val="0"/>
          <w:numId w:val="1"/>
        </w:numPr>
        <w:ind w:hanging="361"/>
        <w:rPr>
          <w:lang w:val="pt-BR"/>
        </w:rPr>
      </w:pPr>
      <w:r w:rsidRPr="00C239D2">
        <w:rPr>
          <w:lang w:val="pt-BR"/>
        </w:rPr>
        <w:t xml:space="preserve">Se você estiver arcando com despesas catastróficas, poderá obter descontos. Isso ocorre quando suas despesas médicas nos últimos 12 meses são superiores a 20% da renda familiar. O desconto também pode incluir seus copagamentos. E também pode incluir cosseguro e franquias. </w:t>
      </w:r>
    </w:p>
    <w:p w14:paraId="7278C9E8" w14:textId="77777777" w:rsidR="008E0C00" w:rsidRPr="00C239D2" w:rsidRDefault="00166AD2">
      <w:pPr>
        <w:spacing w:after="0" w:line="259" w:lineRule="auto"/>
        <w:ind w:left="0" w:firstLine="0"/>
        <w:rPr>
          <w:lang w:val="pt-BR"/>
        </w:rPr>
      </w:pPr>
      <w:r w:rsidRPr="00C239D2">
        <w:rPr>
          <w:lang w:val="pt-BR"/>
        </w:rPr>
        <w:t xml:space="preserve"> </w:t>
      </w:r>
    </w:p>
    <w:p w14:paraId="1EE6BCE6" w14:textId="77777777" w:rsidR="008E0C00" w:rsidRPr="00C239D2" w:rsidRDefault="00166AD2">
      <w:pPr>
        <w:ind w:left="-5"/>
        <w:rPr>
          <w:lang w:val="pt-BR"/>
        </w:rPr>
      </w:pPr>
      <w:r w:rsidRPr="00C239D2">
        <w:rPr>
          <w:lang w:val="pt-BR"/>
        </w:rPr>
        <w:t xml:space="preserve">Serviços eletivos, como cirurgia cosmética, não se qualificam para assistência financeira. </w:t>
      </w:r>
    </w:p>
    <w:p w14:paraId="14E98186" w14:textId="77777777" w:rsidR="008E0C00" w:rsidRPr="00C239D2" w:rsidRDefault="00166AD2">
      <w:pPr>
        <w:spacing w:after="0" w:line="259" w:lineRule="auto"/>
        <w:ind w:left="0" w:firstLine="0"/>
        <w:rPr>
          <w:lang w:val="pt-BR"/>
        </w:rPr>
      </w:pPr>
      <w:r w:rsidRPr="00C239D2">
        <w:rPr>
          <w:lang w:val="pt-BR"/>
        </w:rPr>
        <w:t xml:space="preserve"> </w:t>
      </w:r>
    </w:p>
    <w:p w14:paraId="5D1AAD79" w14:textId="3C0BA5EF" w:rsidR="008E0C00" w:rsidRPr="00C239D2" w:rsidRDefault="00166AD2">
      <w:pPr>
        <w:ind w:left="-5"/>
        <w:rPr>
          <w:lang w:val="pt-BR"/>
        </w:rPr>
      </w:pPr>
      <w:r w:rsidRPr="00C239D2">
        <w:rPr>
          <w:lang w:val="pt-BR"/>
        </w:rPr>
        <w:t xml:space="preserve">Para solicitar assistência financeira, preencha e envie o requerimento. A Política e o Requerimento de Assistência Financeira da Trinity Health estão disponíveis na página do hospital na internet </w:t>
      </w:r>
      <w:hyperlink r:id="rId17" w:history="1">
        <w:r w:rsidR="00C239D2" w:rsidRPr="00C239D2">
          <w:rPr>
            <w:rStyle w:val="Hyperlink"/>
            <w:color w:val="0000FF"/>
            <w:lang w:val="pt-BR"/>
          </w:rPr>
          <w:t>https://www.trinityhealthofne.org/for-patients/billing-and-financail-resources/</w:t>
        </w:r>
      </w:hyperlink>
      <w:r w:rsidR="00C239D2" w:rsidRPr="00C239D2">
        <w:rPr>
          <w:color w:val="0000FF"/>
          <w:lang w:val="pt-BR"/>
        </w:rPr>
        <w:t xml:space="preserve"> </w:t>
      </w:r>
      <w:r w:rsidRPr="00C239D2">
        <w:rPr>
          <w:lang w:val="pt-BR"/>
        </w:rPr>
        <w:t xml:space="preserve">Você também pode solicitar uma cópia gratuita da política e do requerimento visitando, enviando pelo correio ou telefonando para o local onde recebeu o atendimento ou entrando em contato com Trinity Health Enterprise Patient Financial Services, 20555 Victor Parkway, Livonia, MI 48152, ligação gratuita para 800-494-5797. </w:t>
      </w:r>
    </w:p>
    <w:p w14:paraId="637DD2D9" w14:textId="77777777" w:rsidR="008E0C00" w:rsidRPr="00C239D2" w:rsidRDefault="00166AD2">
      <w:pPr>
        <w:spacing w:after="0" w:line="259" w:lineRule="auto"/>
        <w:ind w:left="0" w:firstLine="0"/>
        <w:rPr>
          <w:lang w:val="pt-BR"/>
        </w:rPr>
      </w:pPr>
      <w:r w:rsidRPr="00C239D2">
        <w:rPr>
          <w:lang w:val="pt-BR"/>
        </w:rPr>
        <w:t xml:space="preserve"> </w:t>
      </w:r>
    </w:p>
    <w:p w14:paraId="6D0EAB24" w14:textId="77777777" w:rsidR="008E0C00" w:rsidRPr="00C239D2" w:rsidRDefault="00166AD2">
      <w:pPr>
        <w:ind w:left="-5"/>
        <w:rPr>
          <w:lang w:val="pt-BR"/>
        </w:rPr>
      </w:pPr>
      <w:r w:rsidRPr="00C239D2">
        <w:rPr>
          <w:lang w:val="pt-BR"/>
        </w:rPr>
        <w:t xml:space="preserve">A Política de Assistência Financeira da Trinity Health, o Requerimento e o Resumo em Linguagem Simples são traduzidos para outros idiomas e estão disponíveis entrando em contato com o hospital ou o departamento de Serviços Financeiros para Pacientes (Patient Financial Services) listado acima. </w:t>
      </w:r>
    </w:p>
    <w:p w14:paraId="66C87BE3" w14:textId="77777777" w:rsidR="008E0C00" w:rsidRPr="00C239D2" w:rsidRDefault="00166AD2">
      <w:pPr>
        <w:spacing w:after="0" w:line="259" w:lineRule="auto"/>
        <w:ind w:left="0" w:firstLine="0"/>
        <w:rPr>
          <w:lang w:val="pt-BR"/>
        </w:rPr>
      </w:pPr>
      <w:r w:rsidRPr="00C239D2">
        <w:rPr>
          <w:i/>
          <w:lang w:val="pt-BR"/>
        </w:rPr>
        <w:t xml:space="preserve"> </w:t>
      </w:r>
    </w:p>
    <w:p w14:paraId="34459E63" w14:textId="77777777" w:rsidR="008E0C00" w:rsidRPr="00C239D2" w:rsidRDefault="00166AD2">
      <w:pPr>
        <w:ind w:left="-5"/>
        <w:rPr>
          <w:lang w:val="pt-BR"/>
        </w:rPr>
      </w:pPr>
      <w:r w:rsidRPr="00C239D2">
        <w:rPr>
          <w:b/>
          <w:i/>
          <w:lang w:val="pt-BR"/>
        </w:rPr>
        <w:t xml:space="preserve">Lista de provedores: </w:t>
      </w:r>
      <w:r w:rsidRPr="00C239D2">
        <w:rPr>
          <w:lang w:val="pt-BR"/>
        </w:rPr>
        <w:t xml:space="preserve">Uma lista de provedores que prestam atendimento de emergência ou médico necessário nas instalações do hospital e que são cobertos pela Política de Assistência Financeira do hospital está disponível on-line ou mediante solicitação.  </w:t>
      </w:r>
    </w:p>
    <w:p w14:paraId="6DDA1D85" w14:textId="77777777" w:rsidR="008E0C00" w:rsidRPr="00C239D2" w:rsidRDefault="00166AD2">
      <w:pPr>
        <w:spacing w:after="0" w:line="259" w:lineRule="auto"/>
        <w:ind w:left="0" w:firstLine="0"/>
        <w:rPr>
          <w:lang w:val="pt-BR"/>
        </w:rPr>
      </w:pPr>
      <w:r w:rsidRPr="00C239D2">
        <w:rPr>
          <w:i/>
          <w:lang w:val="pt-BR"/>
        </w:rPr>
        <w:t xml:space="preserve"> </w:t>
      </w:r>
    </w:p>
    <w:p w14:paraId="63AB642F" w14:textId="77777777" w:rsidR="008E0C00" w:rsidRPr="00C239D2" w:rsidRDefault="00166AD2">
      <w:pPr>
        <w:ind w:left="-5"/>
        <w:rPr>
          <w:lang w:val="pt-BR"/>
        </w:rPr>
      </w:pPr>
      <w:r w:rsidRPr="00C239D2">
        <w:rPr>
          <w:b/>
          <w:i/>
          <w:lang w:val="pt-BR"/>
        </w:rPr>
        <w:t xml:space="preserve">Planos de pagamento de curto e longo prazo: </w:t>
      </w:r>
      <w:r w:rsidRPr="00C239D2">
        <w:rPr>
          <w:lang w:val="pt-BR"/>
        </w:rPr>
        <w:t xml:space="preserve">Se você não puder pagar sua parte, poderá se qualificar para planos de pagamento de curto ou longo prazo. O plano de pagamento de curto prazo do Trinity Health não tem juros. Os pacientes devem pagar os saldos em um ano. Você pode obter um plano de longo prazo com juros se não puder pagar o saldo total em um ano. </w:t>
      </w:r>
    </w:p>
    <w:p w14:paraId="412F5C6E" w14:textId="77777777" w:rsidR="008E0C00" w:rsidRPr="00C239D2" w:rsidRDefault="00166AD2">
      <w:pPr>
        <w:spacing w:after="0" w:line="259" w:lineRule="auto"/>
        <w:ind w:left="0" w:firstLine="0"/>
        <w:rPr>
          <w:lang w:val="pt-BR"/>
        </w:rPr>
      </w:pPr>
      <w:r w:rsidRPr="00C239D2">
        <w:rPr>
          <w:i/>
          <w:lang w:val="pt-BR"/>
        </w:rPr>
        <w:t xml:space="preserve"> </w:t>
      </w:r>
    </w:p>
    <w:p w14:paraId="50F9BD61" w14:textId="77777777" w:rsidR="008E0C00" w:rsidRPr="00C239D2" w:rsidRDefault="00166AD2">
      <w:pPr>
        <w:spacing w:after="297"/>
        <w:ind w:left="-5"/>
        <w:rPr>
          <w:lang w:val="pt-BR"/>
        </w:rPr>
      </w:pPr>
      <w:r w:rsidRPr="00C239D2">
        <w:rPr>
          <w:b/>
          <w:i/>
          <w:lang w:val="pt-BR"/>
        </w:rPr>
        <w:lastRenderedPageBreak/>
        <w:t xml:space="preserve">Serviços financeiros para pacientes: </w:t>
      </w:r>
      <w:r w:rsidRPr="00C239D2">
        <w:rPr>
          <w:lang w:val="pt-BR"/>
        </w:rPr>
        <w:t xml:space="preserve">Conselheiros financeiros estão disponíveis para ajudálo. Eles o ajudarão a preencher as solicitações de assistência financeira. Isso determinará qual auxílio está disponível. Isso inclui a avaliação da elegibilidade para o Medicaid. </w:t>
      </w:r>
    </w:p>
    <w:p w14:paraId="17E30EC7" w14:textId="77777777" w:rsidR="008E0C00" w:rsidRDefault="00166AD2">
      <w:pPr>
        <w:spacing w:after="150" w:line="222" w:lineRule="auto"/>
        <w:ind w:left="-5"/>
      </w:pPr>
      <w:r>
        <w:rPr>
          <w:rFonts w:ascii="Calibri" w:eastAsia="Calibri" w:hAnsi="Calibri" w:cs="Calibri"/>
          <w:sz w:val="18"/>
        </w:rPr>
        <w:t xml:space="preserve">Financial Assistance Policy Plain Language Summary_Rev May 2024_via Language Services Associates, May 2024 in Portuguese (Brazilian) </w:t>
      </w:r>
      <w:r>
        <w:rPr>
          <w:rFonts w:ascii="Calibri" w:eastAsia="Calibri" w:hAnsi="Calibri" w:cs="Calibri"/>
        </w:rPr>
        <w:t xml:space="preserve"> </w:t>
      </w:r>
    </w:p>
    <w:p w14:paraId="7CBAA847" w14:textId="77777777" w:rsidR="008E0C00" w:rsidRDefault="00166AD2">
      <w:pPr>
        <w:spacing w:after="0" w:line="259" w:lineRule="auto"/>
        <w:ind w:left="0" w:firstLine="0"/>
      </w:pPr>
      <w:r>
        <w:t xml:space="preserve"> </w:t>
      </w:r>
    </w:p>
    <w:p w14:paraId="1FD6B0A5" w14:textId="77777777" w:rsidR="008E0C00" w:rsidRPr="00C239D2" w:rsidRDefault="00166AD2">
      <w:pPr>
        <w:spacing w:after="11980"/>
        <w:ind w:left="-5"/>
        <w:rPr>
          <w:lang w:val="pt-BR"/>
        </w:rPr>
      </w:pPr>
      <w:r w:rsidRPr="00C239D2">
        <w:rPr>
          <w:lang w:val="pt-BR"/>
        </w:rPr>
        <w:t xml:space="preserve">Você pode entrar em contato com um consultor financeiro no local de atendimento. O consultor financeiro pode ajudar a determinar se você se qualifica para receber ajuda financeira. Os conselheiros financeiros também podem fornecer cópias gratuitas da Política de Assistência Financeira, do Requerimento e do Resumo em Linguagem Simples. </w:t>
      </w:r>
    </w:p>
    <w:p w14:paraId="0A435F5E" w14:textId="22121C5C" w:rsidR="008E0C00" w:rsidRDefault="00166AD2" w:rsidP="00C239D2">
      <w:pPr>
        <w:spacing w:after="150" w:line="222" w:lineRule="auto"/>
        <w:ind w:left="0" w:firstLine="0"/>
      </w:pPr>
      <w:r>
        <w:rPr>
          <w:rFonts w:ascii="Calibri" w:eastAsia="Calibri" w:hAnsi="Calibri" w:cs="Calibri"/>
          <w:sz w:val="18"/>
        </w:rPr>
        <w:lastRenderedPageBreak/>
        <w:t xml:space="preserve"> </w:t>
      </w:r>
      <w:r>
        <w:rPr>
          <w:rFonts w:ascii="Calibri" w:eastAsia="Calibri" w:hAnsi="Calibri" w:cs="Calibri"/>
        </w:rPr>
        <w:t xml:space="preserve"> </w:t>
      </w:r>
    </w:p>
    <w:sectPr w:rsidR="008E0C00">
      <w:pgSz w:w="12240" w:h="15840"/>
      <w:pgMar w:top="1442" w:right="1471" w:bottom="71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21486"/>
    <w:multiLevelType w:val="hybridMultilevel"/>
    <w:tmpl w:val="FA66C34E"/>
    <w:lvl w:ilvl="0" w:tplc="1BFAA980">
      <w:start w:val="1"/>
      <w:numFmt w:val="bullet"/>
      <w:lvlText w:val="•"/>
      <w:lvlJc w:val="left"/>
      <w:pPr>
        <w:ind w:left="361"/>
      </w:pPr>
      <w:rPr>
        <w:rFonts w:ascii="Arial" w:eastAsia="Arial" w:hAnsi="Arial" w:cs="Arial"/>
        <w:b w:val="0"/>
        <w:i w:val="0"/>
        <w:strike w:val="0"/>
        <w:dstrike w:val="0"/>
        <w:color w:val="595857"/>
        <w:sz w:val="22"/>
        <w:szCs w:val="22"/>
        <w:u w:val="none" w:color="000000"/>
        <w:bdr w:val="none" w:sz="0" w:space="0" w:color="auto"/>
        <w:shd w:val="clear" w:color="auto" w:fill="auto"/>
        <w:vertAlign w:val="baseline"/>
      </w:rPr>
    </w:lvl>
    <w:lvl w:ilvl="1" w:tplc="085E76EE">
      <w:start w:val="1"/>
      <w:numFmt w:val="bullet"/>
      <w:lvlText w:val="o"/>
      <w:lvlJc w:val="left"/>
      <w:pPr>
        <w:ind w:left="108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2" w:tplc="F5848F66">
      <w:start w:val="1"/>
      <w:numFmt w:val="bullet"/>
      <w:lvlText w:val="▪"/>
      <w:lvlJc w:val="left"/>
      <w:pPr>
        <w:ind w:left="180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3" w:tplc="A8FA2934">
      <w:start w:val="1"/>
      <w:numFmt w:val="bullet"/>
      <w:lvlText w:val="•"/>
      <w:lvlJc w:val="left"/>
      <w:pPr>
        <w:ind w:left="2520"/>
      </w:pPr>
      <w:rPr>
        <w:rFonts w:ascii="Arial" w:eastAsia="Arial" w:hAnsi="Arial" w:cs="Arial"/>
        <w:b w:val="0"/>
        <w:i w:val="0"/>
        <w:strike w:val="0"/>
        <w:dstrike w:val="0"/>
        <w:color w:val="595857"/>
        <w:sz w:val="22"/>
        <w:szCs w:val="22"/>
        <w:u w:val="none" w:color="000000"/>
        <w:bdr w:val="none" w:sz="0" w:space="0" w:color="auto"/>
        <w:shd w:val="clear" w:color="auto" w:fill="auto"/>
        <w:vertAlign w:val="baseline"/>
      </w:rPr>
    </w:lvl>
    <w:lvl w:ilvl="4" w:tplc="F466A586">
      <w:start w:val="1"/>
      <w:numFmt w:val="bullet"/>
      <w:lvlText w:val="o"/>
      <w:lvlJc w:val="left"/>
      <w:pPr>
        <w:ind w:left="324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5" w:tplc="977012B8">
      <w:start w:val="1"/>
      <w:numFmt w:val="bullet"/>
      <w:lvlText w:val="▪"/>
      <w:lvlJc w:val="left"/>
      <w:pPr>
        <w:ind w:left="396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6" w:tplc="9C365A84">
      <w:start w:val="1"/>
      <w:numFmt w:val="bullet"/>
      <w:lvlText w:val="•"/>
      <w:lvlJc w:val="left"/>
      <w:pPr>
        <w:ind w:left="4680"/>
      </w:pPr>
      <w:rPr>
        <w:rFonts w:ascii="Arial" w:eastAsia="Arial" w:hAnsi="Arial" w:cs="Arial"/>
        <w:b w:val="0"/>
        <w:i w:val="0"/>
        <w:strike w:val="0"/>
        <w:dstrike w:val="0"/>
        <w:color w:val="595857"/>
        <w:sz w:val="22"/>
        <w:szCs w:val="22"/>
        <w:u w:val="none" w:color="000000"/>
        <w:bdr w:val="none" w:sz="0" w:space="0" w:color="auto"/>
        <w:shd w:val="clear" w:color="auto" w:fill="auto"/>
        <w:vertAlign w:val="baseline"/>
      </w:rPr>
    </w:lvl>
    <w:lvl w:ilvl="7" w:tplc="ED848BE8">
      <w:start w:val="1"/>
      <w:numFmt w:val="bullet"/>
      <w:lvlText w:val="o"/>
      <w:lvlJc w:val="left"/>
      <w:pPr>
        <w:ind w:left="540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8" w:tplc="CC28A9F6">
      <w:start w:val="1"/>
      <w:numFmt w:val="bullet"/>
      <w:lvlText w:val="▪"/>
      <w:lvlJc w:val="left"/>
      <w:pPr>
        <w:ind w:left="612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abstractNum>
  <w:num w:numId="1" w16cid:durableId="190880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00"/>
    <w:rsid w:val="00166AD2"/>
    <w:rsid w:val="003D45AE"/>
    <w:rsid w:val="00796436"/>
    <w:rsid w:val="008E0C00"/>
    <w:rsid w:val="00A85DF6"/>
    <w:rsid w:val="00C2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D0A1"/>
  <w15:docId w15:val="{E790335D-BF2D-4F31-9674-5F7E35C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6"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239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13" Type="http://schemas.openxmlformats.org/officeDocument/2006/relationships/hyperlink" Target="https://aspe.hhs.gov/topics/poverty-economic-mobility/poverty-guidel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pe.hhs.gov/topics/poverty-economic-mobility/poverty-guidelines" TargetMode="External"/><Relationship Id="rId12" Type="http://schemas.openxmlformats.org/officeDocument/2006/relationships/hyperlink" Target="https://aspe.hhs.gov/topics/poverty-economic-mobility/poverty-guidelines" TargetMode="External"/><Relationship Id="rId17" Type="http://schemas.openxmlformats.org/officeDocument/2006/relationships/hyperlink" Target="https://www.trinityhealthofne.org/for-patients/billing-and-financail-resources/" TargetMode="External"/><Relationship Id="rId2" Type="http://schemas.openxmlformats.org/officeDocument/2006/relationships/styles" Target="styles.xml"/><Relationship Id="rId16" Type="http://schemas.openxmlformats.org/officeDocument/2006/relationships/hyperlink" Target="https://aspe.hhs.gov/topics/poverty-economic-mobility/poverty-guidelines" TargetMode="External"/><Relationship Id="rId1" Type="http://schemas.openxmlformats.org/officeDocument/2006/relationships/numbering" Target="numbering.xml"/><Relationship Id="rId6" Type="http://schemas.openxmlformats.org/officeDocument/2006/relationships/hyperlink" Target="https://aspe.hhs.gov/topics/poverty-economic-mobility/poverty-guidelines" TargetMode="External"/><Relationship Id="rId11" Type="http://schemas.openxmlformats.org/officeDocument/2006/relationships/hyperlink" Target="https://aspe.hhs.gov/topics/poverty-economic-mobility/poverty-guidelines" TargetMode="External"/><Relationship Id="rId5" Type="http://schemas.openxmlformats.org/officeDocument/2006/relationships/image" Target="media/image1.png"/><Relationship Id="rId15" Type="http://schemas.openxmlformats.org/officeDocument/2006/relationships/hyperlink" Target="https://aspe.hhs.gov/topics/poverty-economic-mobility/poverty-guidelines" TargetMode="External"/><Relationship Id="rId10" Type="http://schemas.openxmlformats.org/officeDocument/2006/relationships/hyperlink" Target="https://aspe.hhs.gov/topics/poverty-economic-mobility/poverty-guideli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pe.hhs.gov/topics/poverty-economic-mobility/poverty-guidelines" TargetMode="External"/><Relationship Id="rId14" Type="http://schemas.openxmlformats.org/officeDocument/2006/relationships/hyperlink" Target="https://aspe.hhs.gov/topics/poverty-economic-mobility/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 Russ</dc:creator>
  <cp:keywords/>
  <cp:lastModifiedBy>Stephen Kumnick</cp:lastModifiedBy>
  <cp:revision>3</cp:revision>
  <dcterms:created xsi:type="dcterms:W3CDTF">2025-02-20T13:40:00Z</dcterms:created>
  <dcterms:modified xsi:type="dcterms:W3CDTF">2025-02-20T16:15:00Z</dcterms:modified>
</cp:coreProperties>
</file>